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C4DC4" w14:textId="77777777" w:rsidR="00390060" w:rsidRPr="00390060" w:rsidRDefault="00390060" w:rsidP="00390060">
      <w:pPr>
        <w:rPr>
          <w:rFonts w:eastAsia="Times New Roman"/>
          <w:b/>
          <w:kern w:val="36"/>
        </w:rPr>
      </w:pPr>
      <w:r w:rsidRPr="00390060">
        <w:rPr>
          <w:rFonts w:eastAsia="Times New Roman"/>
          <w:b/>
          <w:kern w:val="36"/>
        </w:rPr>
        <w:t>Zadání:</w:t>
      </w:r>
    </w:p>
    <w:p w14:paraId="3BE028C0" w14:textId="77777777" w:rsidR="00390060" w:rsidRPr="00AF1B4E" w:rsidRDefault="00390060" w:rsidP="00390060">
      <w:pPr>
        <w:rPr>
          <w:rFonts w:eastAsia="Times New Roman"/>
          <w:bCs/>
          <w:kern w:val="36"/>
          <w:lang w:val="cs-CZ"/>
        </w:rPr>
      </w:pPr>
      <w:r w:rsidRPr="00AF1B4E">
        <w:rPr>
          <w:rFonts w:eastAsia="Times New Roman"/>
          <w:bCs/>
          <w:kern w:val="36"/>
        </w:rPr>
        <w:t xml:space="preserve">Na konci dokumentu vytvořte výsečový graf. </w:t>
      </w:r>
      <w:r w:rsidRPr="00AF1B4E">
        <w:rPr>
          <w:rFonts w:eastAsia="Times New Roman"/>
          <w:bCs/>
          <w:kern w:val="36"/>
          <w:lang w:val="cs-CZ"/>
        </w:rPr>
        <w:t xml:space="preserve">Zdrojem budou informace v tabulce na konci dokumentu. Přidejte popisky dat, nadpis Leasing a zformátujte stylem z galerie. Pro graf vytvořte nový oddíl a pouze u stránky s grafem změňte orientaci na šířku. </w:t>
      </w:r>
    </w:p>
    <w:p w14:paraId="218831B5" w14:textId="77777777" w:rsidR="00390060" w:rsidRPr="00390060" w:rsidRDefault="00390060" w:rsidP="00390060">
      <w:pPr>
        <w:rPr>
          <w:rFonts w:eastAsia="Times New Roman"/>
          <w:b/>
          <w:kern w:val="36"/>
          <w:lang w:val="cs-CZ"/>
        </w:rPr>
      </w:pPr>
      <w:r w:rsidRPr="00390060">
        <w:rPr>
          <w:rFonts w:eastAsia="Times New Roman"/>
          <w:b/>
          <w:kern w:val="36"/>
          <w:lang w:val="cs-CZ"/>
        </w:rPr>
        <w:t>Očíslujte dokument doprostřed zápatí a zajistěte, aby poslední stránka s grafem nebyla očíslována jako příloha.</w:t>
      </w:r>
    </w:p>
    <w:p w14:paraId="00E7AC13" w14:textId="77777777" w:rsidR="00390060" w:rsidRDefault="00390060" w:rsidP="00F35BC3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34BC2D55" wp14:editId="3223F26B">
            <wp:extent cx="4378476" cy="3118981"/>
            <wp:effectExtent l="19050" t="0" r="3024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953" t="34677" r="29466" b="2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984" cy="312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0F4AC" w14:textId="77777777" w:rsidR="00390060" w:rsidRDefault="00390060" w:rsidP="00F35BC3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14:paraId="4F7744EC" w14:textId="1AA43E60" w:rsidR="00F35BC3" w:rsidRPr="00F35BC3" w:rsidRDefault="00F35BC3" w:rsidP="00390060">
      <w:pPr>
        <w:pStyle w:val="Nadpis1"/>
        <w:rPr>
          <w:rFonts w:eastAsia="Times New Roman"/>
          <w:kern w:val="36"/>
        </w:rPr>
      </w:pPr>
      <w:r w:rsidRPr="00F35BC3">
        <w:rPr>
          <w:rFonts w:eastAsia="Times New Roman"/>
          <w:kern w:val="36"/>
        </w:rPr>
        <w:t xml:space="preserve">Stav a vývoj nebankovního leasingového a úvěrového trhu v ČR (1. - 3. </w:t>
      </w:r>
      <w:proofErr w:type="spellStart"/>
      <w:r w:rsidRPr="00F35BC3">
        <w:rPr>
          <w:rFonts w:eastAsia="Times New Roman"/>
          <w:kern w:val="36"/>
        </w:rPr>
        <w:t>čtvrtletí</w:t>
      </w:r>
      <w:proofErr w:type="spellEnd"/>
      <w:r w:rsidRPr="00F35BC3">
        <w:rPr>
          <w:rFonts w:eastAsia="Times New Roman"/>
          <w:kern w:val="36"/>
        </w:rPr>
        <w:t xml:space="preserve"> </w:t>
      </w:r>
      <w:r w:rsidR="007164BA">
        <w:rPr>
          <w:rFonts w:eastAsia="Times New Roman"/>
          <w:kern w:val="36"/>
        </w:rPr>
        <w:t>2023</w:t>
      </w:r>
      <w:r w:rsidRPr="00F35BC3">
        <w:rPr>
          <w:rFonts w:eastAsia="Times New Roman"/>
          <w:kern w:val="36"/>
        </w:rPr>
        <w:t>)</w:t>
      </w:r>
    </w:p>
    <w:p w14:paraId="2D9C0041" w14:textId="542D11D8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  <w:b/>
          <w:bCs/>
        </w:rPr>
        <w:t xml:space="preserve">V 1. - 3. </w:t>
      </w:r>
      <w:proofErr w:type="spellStart"/>
      <w:r w:rsidRPr="00F35BC3">
        <w:rPr>
          <w:rFonts w:eastAsia="Times New Roman"/>
          <w:b/>
          <w:bCs/>
        </w:rPr>
        <w:t>čtvrtletí</w:t>
      </w:r>
      <w:proofErr w:type="spellEnd"/>
      <w:r w:rsidRPr="00F35BC3">
        <w:rPr>
          <w:rFonts w:eastAsia="Times New Roman"/>
          <w:b/>
          <w:bCs/>
        </w:rPr>
        <w:t xml:space="preserve"> </w:t>
      </w:r>
      <w:r w:rsidR="007164BA">
        <w:rPr>
          <w:rFonts w:eastAsia="Times New Roman"/>
          <w:b/>
          <w:bCs/>
        </w:rPr>
        <w:t>2023</w:t>
      </w:r>
      <w:r w:rsidRPr="00F35BC3">
        <w:rPr>
          <w:rFonts w:eastAsia="Times New Roman"/>
          <w:b/>
          <w:bCs/>
        </w:rPr>
        <w:t xml:space="preserve"> se </w:t>
      </w:r>
      <w:proofErr w:type="spellStart"/>
      <w:r w:rsidRPr="00F35BC3">
        <w:rPr>
          <w:rFonts w:eastAsia="Times New Roman"/>
          <w:b/>
          <w:bCs/>
        </w:rPr>
        <w:t>postupně</w:t>
      </w:r>
      <w:proofErr w:type="spellEnd"/>
      <w:r w:rsidRPr="00F35BC3">
        <w:rPr>
          <w:rFonts w:eastAsia="Times New Roman"/>
          <w:b/>
          <w:bCs/>
        </w:rPr>
        <w:t xml:space="preserve"> </w:t>
      </w:r>
      <w:proofErr w:type="spellStart"/>
      <w:r w:rsidRPr="00F35BC3">
        <w:rPr>
          <w:rFonts w:eastAsia="Times New Roman"/>
          <w:b/>
          <w:bCs/>
        </w:rPr>
        <w:t>prohlubovaly</w:t>
      </w:r>
      <w:proofErr w:type="spellEnd"/>
      <w:r w:rsidRPr="00F35BC3">
        <w:rPr>
          <w:rFonts w:eastAsia="Times New Roman"/>
          <w:b/>
          <w:bCs/>
        </w:rPr>
        <w:t xml:space="preserve"> negativní vlivy makroekonomických faktorů na nebankovní finanční produkty nabízené členy České leasingové a finanční asociace (ČLFA). Byly v 1. - 3. </w:t>
      </w:r>
      <w:proofErr w:type="spellStart"/>
      <w:r w:rsidRPr="00F35BC3">
        <w:rPr>
          <w:rFonts w:eastAsia="Times New Roman"/>
          <w:b/>
          <w:bCs/>
        </w:rPr>
        <w:t>čtvrtletí</w:t>
      </w:r>
      <w:proofErr w:type="spellEnd"/>
      <w:r w:rsidRPr="00F35BC3">
        <w:rPr>
          <w:rFonts w:eastAsia="Times New Roman"/>
          <w:b/>
          <w:bCs/>
        </w:rPr>
        <w:t xml:space="preserve"> </w:t>
      </w:r>
      <w:r w:rsidR="007164BA">
        <w:rPr>
          <w:rFonts w:eastAsia="Times New Roman"/>
          <w:b/>
          <w:bCs/>
        </w:rPr>
        <w:t>2023</w:t>
      </w:r>
      <w:r w:rsidRPr="00F35BC3">
        <w:rPr>
          <w:rFonts w:eastAsia="Times New Roman"/>
          <w:b/>
          <w:bCs/>
        </w:rPr>
        <w:t xml:space="preserve"> </w:t>
      </w:r>
      <w:proofErr w:type="spellStart"/>
      <w:r w:rsidRPr="00F35BC3">
        <w:rPr>
          <w:rFonts w:eastAsia="Times New Roman"/>
          <w:b/>
          <w:bCs/>
        </w:rPr>
        <w:t>nabízeny</w:t>
      </w:r>
      <w:proofErr w:type="spellEnd"/>
      <w:r w:rsidRPr="00F35BC3">
        <w:rPr>
          <w:rFonts w:eastAsia="Times New Roman"/>
          <w:b/>
          <w:bCs/>
        </w:rPr>
        <w:t xml:space="preserve"> v </w:t>
      </w:r>
      <w:proofErr w:type="spellStart"/>
      <w:r w:rsidRPr="00F35BC3">
        <w:rPr>
          <w:rFonts w:eastAsia="Times New Roman"/>
          <w:b/>
          <w:bCs/>
        </w:rPr>
        <w:t>podmínkách</w:t>
      </w:r>
      <w:proofErr w:type="spellEnd"/>
      <w:r w:rsidRPr="00F35BC3">
        <w:rPr>
          <w:rFonts w:eastAsia="Times New Roman"/>
          <w:b/>
          <w:bCs/>
        </w:rPr>
        <w:t xml:space="preserve"> postupně klesajícího tempa ekonomického růstu. Úměrně klesajícímu tempu růstu HDP klesaly investice a byly omezovány výdaje domácností. Pozitivně naopak působily stále relativně nízké úrokové sazby (7. </w:t>
      </w:r>
      <w:proofErr w:type="spellStart"/>
      <w:r w:rsidRPr="00F35BC3">
        <w:rPr>
          <w:rFonts w:eastAsia="Times New Roman"/>
          <w:b/>
          <w:bCs/>
        </w:rPr>
        <w:t>srpna</w:t>
      </w:r>
      <w:proofErr w:type="spellEnd"/>
      <w:r w:rsidRPr="00F35BC3">
        <w:rPr>
          <w:rFonts w:eastAsia="Times New Roman"/>
          <w:b/>
          <w:bCs/>
        </w:rPr>
        <w:t xml:space="preserve"> </w:t>
      </w:r>
      <w:r w:rsidR="007164BA">
        <w:rPr>
          <w:rFonts w:eastAsia="Times New Roman"/>
          <w:b/>
          <w:bCs/>
        </w:rPr>
        <w:t>2023</w:t>
      </w:r>
      <w:r w:rsidRPr="00F35BC3">
        <w:rPr>
          <w:rFonts w:eastAsia="Times New Roman"/>
          <w:b/>
          <w:bCs/>
        </w:rPr>
        <w:t xml:space="preserve"> </w:t>
      </w:r>
      <w:proofErr w:type="spellStart"/>
      <w:r w:rsidRPr="00F35BC3">
        <w:rPr>
          <w:rFonts w:eastAsia="Times New Roman"/>
          <w:b/>
          <w:bCs/>
        </w:rPr>
        <w:t>snížila</w:t>
      </w:r>
      <w:proofErr w:type="spellEnd"/>
      <w:r w:rsidRPr="00F35BC3">
        <w:rPr>
          <w:rFonts w:eastAsia="Times New Roman"/>
          <w:b/>
          <w:bCs/>
        </w:rPr>
        <w:t xml:space="preserve"> ČNB repo </w:t>
      </w:r>
      <w:proofErr w:type="spellStart"/>
      <w:r w:rsidRPr="00F35BC3">
        <w:rPr>
          <w:rFonts w:eastAsia="Times New Roman"/>
          <w:b/>
          <w:bCs/>
        </w:rPr>
        <w:t>sazbu</w:t>
      </w:r>
      <w:proofErr w:type="spellEnd"/>
      <w:r w:rsidRPr="00F35BC3">
        <w:rPr>
          <w:rFonts w:eastAsia="Times New Roman"/>
          <w:b/>
          <w:bCs/>
        </w:rPr>
        <w:t xml:space="preserve"> </w:t>
      </w:r>
      <w:proofErr w:type="spellStart"/>
      <w:r w:rsidRPr="00F35BC3">
        <w:rPr>
          <w:rFonts w:eastAsia="Times New Roman"/>
          <w:b/>
          <w:bCs/>
        </w:rPr>
        <w:t>na</w:t>
      </w:r>
      <w:proofErr w:type="spellEnd"/>
      <w:r w:rsidRPr="00F35BC3">
        <w:rPr>
          <w:rFonts w:eastAsia="Times New Roman"/>
          <w:b/>
          <w:bCs/>
        </w:rPr>
        <w:t xml:space="preserve"> 3,5 </w:t>
      </w:r>
      <w:proofErr w:type="spellStart"/>
      <w:r w:rsidRPr="00F35BC3">
        <w:rPr>
          <w:rFonts w:eastAsia="Times New Roman"/>
          <w:b/>
          <w:bCs/>
        </w:rPr>
        <w:t>procenta</w:t>
      </w:r>
      <w:proofErr w:type="spellEnd"/>
      <w:r w:rsidRPr="00F35BC3">
        <w:rPr>
          <w:rFonts w:eastAsia="Times New Roman"/>
          <w:b/>
          <w:bCs/>
        </w:rPr>
        <w:t>).</w:t>
      </w:r>
    </w:p>
    <w:p w14:paraId="54C29461" w14:textId="77777777" w:rsidR="00F35BC3" w:rsidRPr="00F35BC3" w:rsidRDefault="00F35BC3" w:rsidP="00F35BC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F35BC3">
        <w:rPr>
          <w:rFonts w:eastAsia="Times New Roman"/>
          <w:b/>
          <w:bCs/>
          <w:sz w:val="36"/>
          <w:szCs w:val="36"/>
        </w:rPr>
        <w:t>Makroekonomický rámec</w:t>
      </w:r>
    </w:p>
    <w:p w14:paraId="47C3341D" w14:textId="77777777" w:rsidR="00F35BC3" w:rsidRPr="00F35BC3" w:rsidRDefault="00F35BC3" w:rsidP="00F35BC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F35BC3">
        <w:rPr>
          <w:rFonts w:eastAsia="Times New Roman"/>
          <w:b/>
          <w:bCs/>
          <w:sz w:val="36"/>
          <w:szCs w:val="36"/>
        </w:rPr>
        <w:t>Slábnou stimulační účinky investic a spotřeby domácností pro finanční trh</w:t>
      </w:r>
    </w:p>
    <w:p w14:paraId="26B32570" w14:textId="62444D28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lastRenderedPageBreak/>
        <w:t xml:space="preserve">Výraznější negativní dopady na vývoj nebankovních finančních produktů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neměl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růst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inflace</w:t>
      </w:r>
      <w:proofErr w:type="spellEnd"/>
      <w:r w:rsidRPr="00F35BC3">
        <w:rPr>
          <w:rFonts w:eastAsia="Times New Roman"/>
        </w:rPr>
        <w:t xml:space="preserve"> z 5,4 % v </w:t>
      </w:r>
      <w:proofErr w:type="spellStart"/>
      <w:r w:rsidRPr="00F35BC3">
        <w:rPr>
          <w:rFonts w:eastAsia="Times New Roman"/>
        </w:rPr>
        <w:t>prosinci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6,6% v </w:t>
      </w:r>
      <w:proofErr w:type="spellStart"/>
      <w:r w:rsidRPr="00F35BC3">
        <w:rPr>
          <w:rFonts w:eastAsia="Times New Roman"/>
        </w:rPr>
        <w:t>září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. Spotřebitelská poptávka se v průběhu letošního roku relativně snižovala. Ovlivnil ji mj. vývoj nezaměstnanosti, která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konci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září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dosáhla</w:t>
      </w:r>
      <w:proofErr w:type="spellEnd"/>
      <w:r w:rsidRPr="00F35BC3">
        <w:rPr>
          <w:rFonts w:eastAsia="Times New Roman"/>
        </w:rPr>
        <w:t xml:space="preserve"> 5,3 %.</w:t>
      </w:r>
    </w:p>
    <w:p w14:paraId="41AFF88D" w14:textId="1768AC7B" w:rsidR="00F35BC3" w:rsidRPr="00F35BC3" w:rsidRDefault="00F35BC3" w:rsidP="00F35BC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F35BC3">
        <w:rPr>
          <w:rFonts w:eastAsia="Times New Roman"/>
          <w:b/>
          <w:bCs/>
          <w:sz w:val="36"/>
          <w:szCs w:val="36"/>
        </w:rPr>
        <w:t xml:space="preserve">Vývoj leasingu movitých věcí v 1. – 3. </w:t>
      </w:r>
      <w:proofErr w:type="spellStart"/>
      <w:r w:rsidRPr="00F35BC3">
        <w:rPr>
          <w:rFonts w:eastAsia="Times New Roman"/>
          <w:b/>
          <w:bCs/>
          <w:sz w:val="36"/>
          <w:szCs w:val="36"/>
        </w:rPr>
        <w:t>čtvrtletí</w:t>
      </w:r>
      <w:proofErr w:type="spellEnd"/>
      <w:r w:rsidRPr="00F35BC3">
        <w:rPr>
          <w:rFonts w:eastAsia="Times New Roman"/>
          <w:b/>
          <w:bCs/>
          <w:sz w:val="36"/>
          <w:szCs w:val="36"/>
        </w:rPr>
        <w:t xml:space="preserve"> </w:t>
      </w:r>
      <w:r w:rsidR="007164BA">
        <w:rPr>
          <w:rFonts w:eastAsia="Times New Roman"/>
          <w:b/>
          <w:bCs/>
          <w:sz w:val="36"/>
          <w:szCs w:val="36"/>
        </w:rPr>
        <w:t>2023</w:t>
      </w:r>
    </w:p>
    <w:p w14:paraId="16DF2246" w14:textId="07EAC0DE" w:rsidR="00F35BC3" w:rsidRPr="00F35BC3" w:rsidRDefault="00F35BC3" w:rsidP="00F35BC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F35BC3">
        <w:rPr>
          <w:rFonts w:eastAsia="Times New Roman"/>
          <w:b/>
          <w:bCs/>
          <w:sz w:val="27"/>
          <w:szCs w:val="27"/>
        </w:rPr>
        <w:t>Meziroční pokles po rekordních výsledcích v r. 20</w:t>
      </w:r>
      <w:r w:rsidR="007164BA">
        <w:rPr>
          <w:rFonts w:eastAsia="Times New Roman"/>
          <w:b/>
          <w:bCs/>
          <w:sz w:val="27"/>
          <w:szCs w:val="27"/>
        </w:rPr>
        <w:t>22</w:t>
      </w:r>
    </w:p>
    <w:p w14:paraId="0932A43C" w14:textId="48233127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20</w:t>
      </w:r>
      <w:r w:rsidR="007164BA">
        <w:rPr>
          <w:rFonts w:eastAsia="Times New Roman"/>
        </w:rPr>
        <w:t>23</w:t>
      </w:r>
      <w:r w:rsidRPr="00F35BC3">
        <w:rPr>
          <w:rFonts w:eastAsia="Times New Roman"/>
        </w:rPr>
        <w:t xml:space="preserve"> se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poptávce</w:t>
      </w:r>
      <w:proofErr w:type="spellEnd"/>
      <w:r w:rsidRPr="00F35BC3">
        <w:rPr>
          <w:rFonts w:eastAsia="Times New Roman"/>
        </w:rPr>
        <w:t xml:space="preserve"> po leasingu projevil pokles tempa ekonomického růstu a znatelného omezení odpovídajících investičních aktivit. Do určité míry se projevovaly i změny daňového režimu finančního leasingu provedené s účinností od 1. </w:t>
      </w:r>
      <w:proofErr w:type="spellStart"/>
      <w:r w:rsidRPr="00F35BC3">
        <w:rPr>
          <w:rFonts w:eastAsia="Times New Roman"/>
        </w:rPr>
        <w:t>ledna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zákonem</w:t>
      </w:r>
      <w:proofErr w:type="spellEnd"/>
      <w:r w:rsidRPr="00F35BC3">
        <w:rPr>
          <w:rFonts w:eastAsia="Times New Roman"/>
        </w:rPr>
        <w:t xml:space="preserve"> č. 261/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Sb., o </w:t>
      </w:r>
      <w:proofErr w:type="spellStart"/>
      <w:r w:rsidRPr="00F35BC3">
        <w:rPr>
          <w:rFonts w:eastAsia="Times New Roman"/>
        </w:rPr>
        <w:t>stabilizaci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veřejných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rozpočtů</w:t>
      </w:r>
      <w:proofErr w:type="spellEnd"/>
      <w:r w:rsidRPr="00F35BC3">
        <w:rPr>
          <w:rFonts w:eastAsia="Times New Roman"/>
        </w:rPr>
        <w:t xml:space="preserve">, </w:t>
      </w:r>
      <w:proofErr w:type="spellStart"/>
      <w:r w:rsidRPr="00F35BC3">
        <w:rPr>
          <w:rFonts w:eastAsia="Times New Roman"/>
        </w:rPr>
        <w:t>včetně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dopadu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předkontraktace</w:t>
      </w:r>
      <w:proofErr w:type="spellEnd"/>
      <w:r w:rsidRPr="00F35BC3">
        <w:rPr>
          <w:rFonts w:eastAsia="Times New Roman"/>
        </w:rPr>
        <w:t xml:space="preserve"> resp. urychleného sjednávání finančních leasingů před účinností těchto změn.</w:t>
      </w:r>
    </w:p>
    <w:p w14:paraId="76D34C3D" w14:textId="65853C39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Členské společnosti ČLFA financovaly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prostřednictvím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leasingu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stroje</w:t>
      </w:r>
      <w:proofErr w:type="spellEnd"/>
      <w:r w:rsidRPr="00F35BC3">
        <w:rPr>
          <w:rFonts w:eastAsia="Times New Roman"/>
        </w:rPr>
        <w:t xml:space="preserve">, zařízení a dopravní prostředky v souhrnu pořizovacích cen (bez DPH) 70,23 mld. Kč. Protože podíl členských společností ČLFA na našem trhu leasingu movitých věcí se dlouhodobě pohybuje kolem 97 %, lze dovodit, že v ČR byly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financovány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leasingem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stroje</w:t>
      </w:r>
      <w:proofErr w:type="spellEnd"/>
      <w:r w:rsidRPr="00F35BC3">
        <w:rPr>
          <w:rFonts w:eastAsia="Times New Roman"/>
        </w:rPr>
        <w:t xml:space="preserve">, zařízení a dopravní prostředky za cca 72,4 mld. Kč. Proti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došlo</w:t>
      </w:r>
      <w:proofErr w:type="spellEnd"/>
      <w:r w:rsidRPr="00F35BC3">
        <w:rPr>
          <w:rFonts w:eastAsia="Times New Roman"/>
        </w:rPr>
        <w:t xml:space="preserve"> u </w:t>
      </w:r>
      <w:proofErr w:type="spellStart"/>
      <w:r w:rsidRPr="00F35BC3">
        <w:rPr>
          <w:rFonts w:eastAsia="Times New Roman"/>
        </w:rPr>
        <w:t>největších</w:t>
      </w:r>
      <w:proofErr w:type="spellEnd"/>
      <w:r w:rsidRPr="00F35BC3">
        <w:rPr>
          <w:rFonts w:eastAsia="Times New Roman"/>
        </w:rPr>
        <w:t xml:space="preserve"> patnácti společností k meziročnímu snížení o 14,8%. Ve srovnání s 1. </w:t>
      </w:r>
      <w:proofErr w:type="spellStart"/>
      <w:r w:rsidRPr="00F35BC3">
        <w:rPr>
          <w:rFonts w:eastAsia="Times New Roman"/>
        </w:rPr>
        <w:t>pololetím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se </w:t>
      </w:r>
      <w:proofErr w:type="spellStart"/>
      <w:r w:rsidRPr="00F35BC3">
        <w:rPr>
          <w:rFonts w:eastAsia="Times New Roman"/>
        </w:rPr>
        <w:t>tak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dále</w:t>
      </w:r>
      <w:proofErr w:type="spellEnd"/>
      <w:r w:rsidRPr="00F35BC3">
        <w:rPr>
          <w:rFonts w:eastAsia="Times New Roman"/>
        </w:rPr>
        <w:t xml:space="preserve"> prohloubil letošní pokles našeho leasingu movitých věcí (o 4%).</w:t>
      </w:r>
    </w:p>
    <w:p w14:paraId="2320B414" w14:textId="10836176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Celková částka (vstupní dluh) poskytnutá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členskými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společnostmi</w:t>
      </w:r>
      <w:proofErr w:type="spellEnd"/>
      <w:r w:rsidRPr="00F35BC3">
        <w:rPr>
          <w:rFonts w:eastAsia="Times New Roman"/>
        </w:rPr>
        <w:t xml:space="preserve"> ČLFA do leasingu movitých věcí dosáhla 60,29 mld. Kč.</w:t>
      </w:r>
    </w:p>
    <w:p w14:paraId="38A916BE" w14:textId="0FFA7631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Podíl operativního leasingu na celkovém leasingu strojů, zařízení a dopravních prostředků dosáhl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17,3% – </w:t>
      </w:r>
      <w:proofErr w:type="spellStart"/>
      <w:r w:rsidRPr="00F35BC3">
        <w:rPr>
          <w:rFonts w:eastAsia="Times New Roman"/>
        </w:rPr>
        <w:t>proti</w:t>
      </w:r>
      <w:proofErr w:type="spellEnd"/>
      <w:r w:rsidRPr="00F35BC3">
        <w:rPr>
          <w:rFonts w:eastAsia="Times New Roman"/>
        </w:rPr>
        <w:t xml:space="preserve"> 16,3 % v 1. </w:t>
      </w:r>
      <w:proofErr w:type="spellStart"/>
      <w:r w:rsidRPr="00F35BC3">
        <w:rPr>
          <w:rFonts w:eastAsia="Times New Roman"/>
        </w:rPr>
        <w:t>pololetí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(</w:t>
      </w:r>
      <w:proofErr w:type="spellStart"/>
      <w:r w:rsidRPr="00F35BC3">
        <w:rPr>
          <w:rFonts w:eastAsia="Times New Roman"/>
        </w:rPr>
        <w:t>dle</w:t>
      </w:r>
      <w:proofErr w:type="spellEnd"/>
      <w:r w:rsidRPr="00F35BC3">
        <w:rPr>
          <w:rFonts w:eastAsia="Times New Roman"/>
        </w:rPr>
        <w:t xml:space="preserve"> PC bez DPH). Je zřejmé, že v kontextu daňového režimu finančního leasingu změněného zákonem č. 261/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Sb., o stabilizaci veřejných rozpočtů, a s ohledem na prosazující se outsourcing provozních a administrativních agend z řady podniků se zvyšuje zájem o operativní leasing (jeho podíl na celkovém leasingu v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činil</w:t>
      </w:r>
      <w:proofErr w:type="spellEnd"/>
      <w:r w:rsidRPr="00F35BC3">
        <w:rPr>
          <w:rFonts w:eastAsia="Times New Roman"/>
        </w:rPr>
        <w:t xml:space="preserve"> 12,5 %). V leasingu osobních a užitkových aut dosáhl podíl operativního leasingu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již</w:t>
      </w:r>
      <w:proofErr w:type="spellEnd"/>
      <w:r w:rsidRPr="00F35BC3">
        <w:rPr>
          <w:rFonts w:eastAsia="Times New Roman"/>
        </w:rPr>
        <w:t xml:space="preserve"> 27 %.</w:t>
      </w:r>
    </w:p>
    <w:p w14:paraId="49DA48B2" w14:textId="07BF2571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I nadále v leasingu movitých věcí u nás dominuje leasing silničních vozidel. Proti předchozím obdobím se však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snížil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podíl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leasingu</w:t>
      </w:r>
      <w:proofErr w:type="spellEnd"/>
      <w:r w:rsidRPr="00F35BC3">
        <w:rPr>
          <w:rFonts w:eastAsia="Times New Roman"/>
        </w:rPr>
        <w:t xml:space="preserve"> osobních aut (z 25,3 %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a z 24,5 % za celý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24,3 %), podíl leasingu lehkých užitkových aut (z 19,6 %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a z 19,9 % za celý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19 %) a nákladních automobilů (z 26,5 %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a z 23,3% za celý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24,1 %). Podíl ojetých osobních aut na jejich celkovém leasingu dosáhl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13,7 %, </w:t>
      </w:r>
      <w:proofErr w:type="spellStart"/>
      <w:r w:rsidRPr="00F35BC3">
        <w:rPr>
          <w:rFonts w:eastAsia="Times New Roman"/>
        </w:rPr>
        <w:t>což</w:t>
      </w:r>
      <w:proofErr w:type="spellEnd"/>
      <w:r w:rsidRPr="00F35BC3">
        <w:rPr>
          <w:rFonts w:eastAsia="Times New Roman"/>
        </w:rPr>
        <w:t xml:space="preserve"> představuje meziroční snížení (z 14,8 %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a 17 % za celý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). Postupně roste podíl leasingu strojů a zařízení – dosáhl 24,5 % (proti 23,1% za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 xml:space="preserve"> a 24 % za celý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>).</w:t>
      </w:r>
    </w:p>
    <w:p w14:paraId="5623AE0D" w14:textId="77777777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>Podobně jako v předchozích letech směřovala polovina leasingu movitých věcí do soukromého sektoru služeb a třetina do průmyslu a stavebnictví.</w:t>
      </w:r>
    </w:p>
    <w:p w14:paraId="31D91D50" w14:textId="200D7FBA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Členské společnosti ČLFA uzavřely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92 406 </w:t>
      </w:r>
      <w:proofErr w:type="spellStart"/>
      <w:r w:rsidRPr="00F35BC3">
        <w:rPr>
          <w:rFonts w:eastAsia="Times New Roman"/>
        </w:rPr>
        <w:t>smluv</w:t>
      </w:r>
      <w:proofErr w:type="spellEnd"/>
      <w:r w:rsidRPr="00F35BC3">
        <w:rPr>
          <w:rFonts w:eastAsia="Times New Roman"/>
        </w:rPr>
        <w:t xml:space="preserve"> o leasingu strojů, zařízení a dopravních prostředků – z toho 73 078 smluv o finančním leasingu a 19 328 smluv o operativním leasingu. Kromě toho bylo nově poskytnuto 202 vozidel do správy vozových parků zajišťované členy ČLFA. Na v podstatě stejné </w:t>
      </w:r>
      <w:r w:rsidRPr="00F35BC3">
        <w:rPr>
          <w:rFonts w:eastAsia="Times New Roman"/>
        </w:rPr>
        <w:lastRenderedPageBreak/>
        <w:t xml:space="preserve">úrovni jako v loňském roce zůstala průměrná pořizovací cena movité věci financované leasingem (760 041 Kč v 1. –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proti</w:t>
      </w:r>
      <w:proofErr w:type="spellEnd"/>
      <w:r w:rsidRPr="00F35BC3">
        <w:rPr>
          <w:rFonts w:eastAsia="Times New Roman"/>
        </w:rPr>
        <w:t xml:space="preserve"> 749 705 Kč v r. </w:t>
      </w:r>
      <w:r w:rsidR="007164BA">
        <w:rPr>
          <w:rFonts w:eastAsia="Times New Roman"/>
        </w:rPr>
        <w:t>2022</w:t>
      </w:r>
      <w:r w:rsidRPr="00F35BC3">
        <w:rPr>
          <w:rFonts w:eastAsia="Times New Roman"/>
        </w:rPr>
        <w:t>).</w:t>
      </w:r>
    </w:p>
    <w:p w14:paraId="714651D0" w14:textId="5579BE72" w:rsidR="00F35BC3" w:rsidRPr="00F35BC3" w:rsidRDefault="00F35BC3" w:rsidP="00F35BC3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Koncem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probíhaly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leasingy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strojů</w:t>
      </w:r>
      <w:proofErr w:type="spellEnd"/>
      <w:r w:rsidRPr="00F35BC3">
        <w:rPr>
          <w:rFonts w:eastAsia="Times New Roman"/>
        </w:rPr>
        <w:t xml:space="preserve">, zařízení a dopravních prostředků na základě aktivních 465 240 leasingových smluv uzavřených se členy ČLFA (z toho činil počet aktivních smluv o finančním leasingu 411 314 a počet aktivních smluv o operativním leasingu 53 926). Klesá počet aktivních smluv o finančním leasingu, roste počet probíhajících smluv o operativním leasingu. Ve správě vozových parků bylo na konci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1 329 </w:t>
      </w:r>
      <w:proofErr w:type="spellStart"/>
      <w:r w:rsidRPr="00F35BC3">
        <w:rPr>
          <w:rFonts w:eastAsia="Times New Roman"/>
        </w:rPr>
        <w:t>vozidel</w:t>
      </w:r>
      <w:proofErr w:type="spellEnd"/>
      <w:r w:rsidRPr="00F35BC3">
        <w:rPr>
          <w:rFonts w:eastAsia="Times New Roman"/>
        </w:rPr>
        <w:t>.</w:t>
      </w:r>
    </w:p>
    <w:p w14:paraId="31BD8AE7" w14:textId="71F904F2" w:rsidR="007530B7" w:rsidRDefault="00F35BC3" w:rsidP="00CF6750">
      <w:pPr>
        <w:spacing w:before="100" w:beforeAutospacing="1" w:after="100" w:afterAutospacing="1"/>
        <w:rPr>
          <w:rFonts w:eastAsia="Times New Roman"/>
        </w:rPr>
      </w:pPr>
      <w:r w:rsidRPr="00F35BC3">
        <w:rPr>
          <w:rFonts w:eastAsia="Times New Roman"/>
        </w:rPr>
        <w:t xml:space="preserve">Účetní hodnota všech strojů, zařízení a dopravních prostředků v leasingovém užívání přesáhla na konci 3. </w:t>
      </w:r>
      <w:proofErr w:type="spellStart"/>
      <w:r w:rsidRPr="00F35BC3">
        <w:rPr>
          <w:rFonts w:eastAsia="Times New Roman"/>
        </w:rPr>
        <w:t>čtvrtletí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hranici</w:t>
      </w:r>
      <w:proofErr w:type="spellEnd"/>
      <w:r w:rsidRPr="00F35BC3">
        <w:rPr>
          <w:rFonts w:eastAsia="Times New Roman"/>
        </w:rPr>
        <w:t xml:space="preserve"> 187 </w:t>
      </w:r>
      <w:proofErr w:type="spellStart"/>
      <w:r w:rsidRPr="00F35BC3">
        <w:rPr>
          <w:rFonts w:eastAsia="Times New Roman"/>
        </w:rPr>
        <w:t>mld</w:t>
      </w:r>
      <w:proofErr w:type="spellEnd"/>
      <w:r w:rsidRPr="00F35BC3">
        <w:rPr>
          <w:rFonts w:eastAsia="Times New Roman"/>
        </w:rPr>
        <w:t xml:space="preserve">. Kč. Pohledávky z uzavřených smluv o leasingu movitých věcí přesáhly </w:t>
      </w:r>
      <w:proofErr w:type="spellStart"/>
      <w:r w:rsidRPr="00F35BC3">
        <w:rPr>
          <w:rFonts w:eastAsia="Times New Roman"/>
        </w:rPr>
        <w:t>na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konci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září</w:t>
      </w:r>
      <w:proofErr w:type="spellEnd"/>
      <w:r w:rsidRPr="00F35BC3">
        <w:rPr>
          <w:rFonts w:eastAsia="Times New Roman"/>
        </w:rPr>
        <w:t xml:space="preserve"> </w:t>
      </w:r>
      <w:r w:rsidR="007164BA">
        <w:rPr>
          <w:rFonts w:eastAsia="Times New Roman"/>
        </w:rPr>
        <w:t>2023</w:t>
      </w:r>
      <w:r w:rsidRPr="00F35BC3">
        <w:rPr>
          <w:rFonts w:eastAsia="Times New Roman"/>
        </w:rPr>
        <w:t xml:space="preserve"> v </w:t>
      </w:r>
      <w:proofErr w:type="spellStart"/>
      <w:r w:rsidRPr="00F35BC3">
        <w:rPr>
          <w:rFonts w:eastAsia="Times New Roman"/>
        </w:rPr>
        <w:t>souhrnu</w:t>
      </w:r>
      <w:proofErr w:type="spellEnd"/>
      <w:r w:rsidRPr="00F35BC3">
        <w:rPr>
          <w:rFonts w:eastAsia="Times New Roman"/>
        </w:rPr>
        <w:t xml:space="preserve"> </w:t>
      </w:r>
      <w:proofErr w:type="spellStart"/>
      <w:r w:rsidRPr="00F35BC3">
        <w:rPr>
          <w:rFonts w:eastAsia="Times New Roman"/>
        </w:rPr>
        <w:t>hranici</w:t>
      </w:r>
      <w:proofErr w:type="spellEnd"/>
      <w:r w:rsidRPr="00F35BC3">
        <w:rPr>
          <w:rFonts w:eastAsia="Times New Roman"/>
        </w:rPr>
        <w:t xml:space="preserve"> 162 mld. </w:t>
      </w:r>
      <w:proofErr w:type="spellStart"/>
      <w:r w:rsidRPr="00F35BC3">
        <w:rPr>
          <w:rFonts w:eastAsia="Times New Roman"/>
        </w:rPr>
        <w:t>Kč</w:t>
      </w:r>
      <w:proofErr w:type="spellEnd"/>
      <w:r w:rsidRPr="00F35BC3">
        <w:rPr>
          <w:rFonts w:eastAsia="Times New Roman"/>
        </w:rPr>
        <w:t>.</w:t>
      </w:r>
    </w:p>
    <w:p w14:paraId="2B9D7977" w14:textId="79C9D462" w:rsidR="007164BA" w:rsidRDefault="007164BA" w:rsidP="007164BA">
      <w:pPr>
        <w:pStyle w:val="Nadpis1"/>
      </w:pPr>
      <w:r>
        <w:rPr>
          <w:rFonts w:eastAsia="Times New Roman"/>
        </w:rPr>
        <w:t xml:space="preserve">Leasing </w:t>
      </w:r>
      <w:proofErr w:type="spellStart"/>
      <w:r>
        <w:rPr>
          <w:rFonts w:eastAsia="Times New Roman"/>
        </w:rPr>
        <w:t>movitých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věcí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členů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ČLFAv</w:t>
      </w:r>
      <w:proofErr w:type="spellEnd"/>
      <w:r>
        <w:rPr>
          <w:rFonts w:eastAsia="Times New Roman"/>
        </w:rPr>
        <w:t xml:space="preserve"> 1. – 3. </w:t>
      </w:r>
      <w:proofErr w:type="spellStart"/>
      <w:r>
        <w:rPr>
          <w:rFonts w:eastAsia="Times New Roman"/>
        </w:rPr>
        <w:t>čtvrtletí</w:t>
      </w:r>
      <w:proofErr w:type="spellEnd"/>
      <w:r>
        <w:rPr>
          <w:rFonts w:eastAsia="Times New Roman"/>
        </w:rPr>
        <w:t xml:space="preserve"> 2023</w:t>
      </w:r>
    </w:p>
    <w:p w14:paraId="4F86A0F3" w14:textId="6475E744" w:rsidR="007530B7" w:rsidRPr="00077CF5" w:rsidRDefault="007530B7" w:rsidP="007530B7"/>
    <w:tbl>
      <w:tblPr>
        <w:tblStyle w:val="Stednmka1zvraznn4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7530B7" w:rsidRPr="00077CF5" w14:paraId="1B71DFEF" w14:textId="77777777" w:rsidTr="0007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7AD96CBB" w14:textId="77777777" w:rsidR="007530B7" w:rsidRPr="00077CF5" w:rsidRDefault="007530B7" w:rsidP="007530B7">
            <w:r w:rsidRPr="00077CF5">
              <w:t>zemědělství</w:t>
            </w:r>
          </w:p>
        </w:tc>
        <w:tc>
          <w:tcPr>
            <w:tcW w:w="4960" w:type="dxa"/>
          </w:tcPr>
          <w:p w14:paraId="022D35B4" w14:textId="77777777" w:rsidR="007530B7" w:rsidRPr="00077CF5" w:rsidRDefault="007530B7" w:rsidP="00753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7CF5">
              <w:rPr>
                <w:b w:val="0"/>
              </w:rPr>
              <w:t>4,9</w:t>
            </w:r>
          </w:p>
        </w:tc>
      </w:tr>
      <w:tr w:rsidR="007530B7" w14:paraId="753683AA" w14:textId="77777777" w:rsidTr="0007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7AA88760" w14:textId="77777777" w:rsidR="007530B7" w:rsidRDefault="007530B7" w:rsidP="007530B7">
            <w:r>
              <w:t>průmysl</w:t>
            </w:r>
          </w:p>
        </w:tc>
        <w:tc>
          <w:tcPr>
            <w:tcW w:w="4960" w:type="dxa"/>
          </w:tcPr>
          <w:p w14:paraId="2E5E5D85" w14:textId="77777777" w:rsidR="007530B7" w:rsidRDefault="007530B7" w:rsidP="007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37,1</w:t>
            </w:r>
          </w:p>
        </w:tc>
      </w:tr>
      <w:tr w:rsidR="007530B7" w14:paraId="73FAAC9F" w14:textId="77777777" w:rsidTr="00077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4766147B" w14:textId="77777777" w:rsidR="007530B7" w:rsidRDefault="007530B7" w:rsidP="007530B7">
            <w:r>
              <w:t>služby soukromé</w:t>
            </w:r>
          </w:p>
        </w:tc>
        <w:tc>
          <w:tcPr>
            <w:tcW w:w="4960" w:type="dxa"/>
          </w:tcPr>
          <w:p w14:paraId="322C991D" w14:textId="77777777" w:rsidR="007530B7" w:rsidRDefault="007530B7" w:rsidP="007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54,8</w:t>
            </w:r>
          </w:p>
        </w:tc>
      </w:tr>
      <w:tr w:rsidR="007530B7" w14:paraId="408D2809" w14:textId="77777777" w:rsidTr="0007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72BD4DB7" w14:textId="77777777" w:rsidR="007530B7" w:rsidRDefault="007530B7" w:rsidP="007530B7">
            <w:r>
              <w:t>služby veřejné</w:t>
            </w:r>
          </w:p>
        </w:tc>
        <w:tc>
          <w:tcPr>
            <w:tcW w:w="4960" w:type="dxa"/>
          </w:tcPr>
          <w:p w14:paraId="635B4C5B" w14:textId="77777777" w:rsidR="007530B7" w:rsidRDefault="007530B7" w:rsidP="00753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3,2</w:t>
            </w:r>
          </w:p>
        </w:tc>
      </w:tr>
      <w:tr w:rsidR="007530B7" w14:paraId="3C2BB10E" w14:textId="77777777" w:rsidTr="00077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0245A71B" w14:textId="77777777" w:rsidR="007530B7" w:rsidRDefault="007530B7" w:rsidP="007530B7">
            <w:r>
              <w:t>kontrola výpočtem</w:t>
            </w:r>
          </w:p>
        </w:tc>
        <w:tc>
          <w:tcPr>
            <w:tcW w:w="4960" w:type="dxa"/>
            <w:shd w:val="clear" w:color="auto" w:fill="FF0000"/>
          </w:tcPr>
          <w:p w14:paraId="45287560" w14:textId="77777777" w:rsidR="007530B7" w:rsidRDefault="007530B7" w:rsidP="00753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343402" w14:textId="77777777" w:rsidR="000C3104" w:rsidRPr="007530B7" w:rsidRDefault="000C3104" w:rsidP="007530B7"/>
    <w:sectPr w:rsidR="000C3104" w:rsidRPr="007530B7" w:rsidSect="00131E36">
      <w:pgSz w:w="11906" w:h="16838"/>
      <w:pgMar w:top="1417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69"/>
    <w:rsid w:val="00077CF5"/>
    <w:rsid w:val="000B3CDA"/>
    <w:rsid w:val="000C3104"/>
    <w:rsid w:val="00131E36"/>
    <w:rsid w:val="00184E51"/>
    <w:rsid w:val="001D39CE"/>
    <w:rsid w:val="00272430"/>
    <w:rsid w:val="003340F1"/>
    <w:rsid w:val="00363C13"/>
    <w:rsid w:val="00390060"/>
    <w:rsid w:val="003C0869"/>
    <w:rsid w:val="004A0482"/>
    <w:rsid w:val="00550221"/>
    <w:rsid w:val="00571272"/>
    <w:rsid w:val="005B7105"/>
    <w:rsid w:val="00641CB2"/>
    <w:rsid w:val="007164BA"/>
    <w:rsid w:val="007530B7"/>
    <w:rsid w:val="007B03EE"/>
    <w:rsid w:val="00823EEE"/>
    <w:rsid w:val="00974786"/>
    <w:rsid w:val="009B1522"/>
    <w:rsid w:val="00AC5F1D"/>
    <w:rsid w:val="00AF1B4E"/>
    <w:rsid w:val="00B26F71"/>
    <w:rsid w:val="00CF6750"/>
    <w:rsid w:val="00D04449"/>
    <w:rsid w:val="00EC17C8"/>
    <w:rsid w:val="00F35BC3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C5534"/>
  <w15:docId w15:val="{54F1B36B-A603-49AE-9A90-9665F33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060"/>
  </w:style>
  <w:style w:type="paragraph" w:styleId="Nadpis1">
    <w:name w:val="heading 1"/>
    <w:basedOn w:val="Normln"/>
    <w:next w:val="Normln"/>
    <w:link w:val="Nadpis1Char"/>
    <w:uiPriority w:val="9"/>
    <w:qFormat/>
    <w:rsid w:val="00390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0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90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0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0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0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0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0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060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90060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90060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90060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390060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390060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3900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390060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90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0060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0060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90060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060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90060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90060"/>
    <w:rPr>
      <w:b/>
      <w:bCs/>
    </w:rPr>
  </w:style>
  <w:style w:type="character" w:styleId="Zdraznn">
    <w:name w:val="Emphasis"/>
    <w:basedOn w:val="Standardnpsmoodstavce"/>
    <w:uiPriority w:val="20"/>
    <w:qFormat/>
    <w:rsid w:val="00390060"/>
    <w:rPr>
      <w:i/>
      <w:iCs/>
    </w:rPr>
  </w:style>
  <w:style w:type="paragraph" w:styleId="Bezmezer">
    <w:name w:val="No Spacing"/>
    <w:uiPriority w:val="1"/>
    <w:qFormat/>
    <w:rsid w:val="0039006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900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006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90060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060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060"/>
    <w:rPr>
      <w:b/>
      <w:bCs/>
      <w:i/>
      <w:iCs/>
      <w:color w:val="7FD13B" w:themeColor="accent1"/>
    </w:rPr>
  </w:style>
  <w:style w:type="character" w:styleId="Zdraznnjemn">
    <w:name w:val="Subtle Emphasis"/>
    <w:basedOn w:val="Standardnpsmoodstavce"/>
    <w:uiPriority w:val="19"/>
    <w:qFormat/>
    <w:rsid w:val="0039006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90060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390060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90060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9006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0060"/>
    <w:pPr>
      <w:outlineLvl w:val="9"/>
    </w:pPr>
  </w:style>
  <w:style w:type="character" w:styleId="Hypertextovodkaz">
    <w:name w:val="Hyperlink"/>
    <w:basedOn w:val="Standardnpsmoodstavce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rsid w:val="003340F1"/>
    <w:rPr>
      <w:i/>
      <w:iCs/>
    </w:rPr>
  </w:style>
  <w:style w:type="paragraph" w:customStyle="1" w:styleId="H1">
    <w:name w:val="H1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rsid w:val="003340F1"/>
    <w:rPr>
      <w:i/>
      <w:iCs/>
    </w:rPr>
  </w:style>
  <w:style w:type="character" w:customStyle="1" w:styleId="Kd">
    <w:name w:val="Kód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rsid w:val="003340F1"/>
    <w:rPr>
      <w:i/>
      <w:iCs/>
    </w:rPr>
  </w:style>
  <w:style w:type="character" w:customStyle="1" w:styleId="Pouithypertextovodkaz">
    <w:name w:val="Použitý hypertextový odkaz"/>
    <w:rsid w:val="003340F1"/>
    <w:rPr>
      <w:color w:val="800080"/>
      <w:u w:val="single"/>
    </w:rPr>
  </w:style>
  <w:style w:type="character" w:customStyle="1" w:styleId="Klvesnice">
    <w:name w:val="Klávesnice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rsid w:val="003340F1"/>
    <w:rPr>
      <w:rFonts w:ascii="Courier New" w:hAnsi="Courier New" w:cs="Courier New"/>
    </w:rPr>
  </w:style>
  <w:style w:type="character" w:customStyle="1" w:styleId="Psacstroj">
    <w:name w:val="Psací stroj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rsid w:val="003340F1"/>
    <w:rPr>
      <w:i/>
      <w:iCs/>
    </w:rPr>
  </w:style>
  <w:style w:type="character" w:customStyle="1" w:styleId="KdHTML">
    <w:name w:val="Kód HTML"/>
    <w:rsid w:val="003340F1"/>
    <w:rPr>
      <w:vanish/>
      <w:color w:val="FF0000"/>
    </w:rPr>
  </w:style>
  <w:style w:type="character" w:customStyle="1" w:styleId="Koment">
    <w:name w:val="Komentář"/>
    <w:rsid w:val="003340F1"/>
    <w:rPr>
      <w:vanish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750"/>
    <w:rPr>
      <w:rFonts w:ascii="Tahoma" w:hAnsi="Tahoma" w:cs="Tahoma"/>
      <w:sz w:val="16"/>
      <w:szCs w:val="16"/>
      <w:lang w:val="cs-CZ" w:eastAsia="cs-CZ" w:bidi="ar-SA"/>
    </w:rPr>
  </w:style>
  <w:style w:type="table" w:styleId="Mkatabulky">
    <w:name w:val="Table Grid"/>
    <w:basedOn w:val="Normlntabulka"/>
    <w:uiPriority w:val="59"/>
    <w:rsid w:val="007530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4">
    <w:name w:val="Light Shading Accent 4"/>
    <w:basedOn w:val="Normlntabulka"/>
    <w:uiPriority w:val="60"/>
    <w:rsid w:val="007530B7"/>
    <w:rPr>
      <w:color w:val="0081A4" w:themeColor="accent4" w:themeShade="BF"/>
    </w:rPr>
    <w:tblPr>
      <w:tblStyleRowBandSize w:val="1"/>
      <w:tblStyleColBandSize w:val="1"/>
      <w:tblBorders>
        <w:top w:val="single" w:sz="8" w:space="0" w:color="00ADDC" w:themeColor="accent4"/>
        <w:bottom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</w:style>
  <w:style w:type="table" w:styleId="Svtlmkazvraznn4">
    <w:name w:val="Light Grid Accent 4"/>
    <w:basedOn w:val="Normlntabulka"/>
    <w:uiPriority w:val="62"/>
    <w:rsid w:val="00077CF5"/>
    <w:tblPr>
      <w:tblStyleRowBandSize w:val="1"/>
      <w:tblStyleColBandSize w:val="1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1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  <w:shd w:val="clear" w:color="auto" w:fill="B7EFFF" w:themeFill="accent4" w:themeFillTint="3F"/>
      </w:tcPr>
    </w:tblStylePr>
    <w:tblStylePr w:type="band2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</w:tcPr>
    </w:tblStylePr>
  </w:style>
  <w:style w:type="table" w:styleId="Stednmka1zvraznn4">
    <w:name w:val="Medium Grid 1 Accent 4"/>
    <w:basedOn w:val="Normlntabulka"/>
    <w:uiPriority w:val="67"/>
    <w:rsid w:val="00077CF5"/>
    <w:tblPr>
      <w:tblStyleRowBandSize w:val="1"/>
      <w:tblStyleColBandSize w:val="1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  <w:insideV w:val="single" w:sz="8" w:space="0" w:color="25D0FF" w:themeColor="accent4" w:themeTint="BF"/>
      </w:tblBorders>
    </w:tblPr>
    <w:tcPr>
      <w:shd w:val="clear" w:color="auto" w:fill="B7E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E782-3672-4AF7-BCDD-6408CFAB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Spektrum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Olga Krankusová</cp:lastModifiedBy>
  <cp:revision>6</cp:revision>
  <dcterms:created xsi:type="dcterms:W3CDTF">2010-04-05T12:43:00Z</dcterms:created>
  <dcterms:modified xsi:type="dcterms:W3CDTF">2024-05-02T06:10:00Z</dcterms:modified>
</cp:coreProperties>
</file>